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17" w:rsidRPr="00042717" w:rsidRDefault="00042717" w:rsidP="00042717">
      <w:pPr>
        <w:jc w:val="center"/>
        <w:rPr>
          <w:b/>
        </w:rPr>
      </w:pPr>
      <w:r w:rsidRPr="006273F1">
        <w:rPr>
          <w:b/>
        </w:rPr>
        <w:t>САМОДИАГНОСТИК</w:t>
      </w:r>
      <w:r>
        <w:rPr>
          <w:b/>
        </w:rPr>
        <w:t xml:space="preserve">А                                                                                                                                               </w:t>
      </w:r>
      <w:r w:rsidRPr="00ED2259">
        <w:rPr>
          <w:i/>
        </w:rPr>
        <w:t>[</w:t>
      </w:r>
      <w:r w:rsidRPr="00ED2259">
        <w:rPr>
          <w:rFonts w:ascii="Arial" w:eastAsia="Times New Roman" w:hAnsi="Arial" w:cs="Arial"/>
          <w:color w:val="242C42"/>
        </w:rPr>
        <w:t>sch053443</w:t>
      </w:r>
      <w:r w:rsidRPr="00ED2259">
        <w:rPr>
          <w:i/>
        </w:rPr>
        <w:t>]</w:t>
      </w:r>
    </w:p>
    <w:tbl>
      <w:tblPr>
        <w:tblW w:w="546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935"/>
        <w:gridCol w:w="5526"/>
      </w:tblGrid>
      <w:tr w:rsidR="00042717" w:rsidRPr="004778B1" w:rsidTr="00A01565">
        <w:trPr>
          <w:trHeight w:val="107"/>
        </w:trPr>
        <w:tc>
          <w:tcPr>
            <w:tcW w:w="2359" w:type="pct"/>
            <w:shd w:val="clear" w:color="auto" w:fill="31849B" w:themeFill="accent5" w:themeFillShade="BF"/>
          </w:tcPr>
          <w:p w:rsidR="00042717" w:rsidRDefault="00042717" w:rsidP="00A01565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proofErr w:type="gramStart"/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</w:t>
            </w:r>
            <w:proofErr w:type="gramEnd"/>
          </w:p>
          <w:p w:rsidR="00042717" w:rsidRPr="00DA1EF9" w:rsidRDefault="00042717" w:rsidP="00A01565">
            <w:pPr>
              <w:pStyle w:val="Default"/>
              <w:jc w:val="center"/>
              <w:rPr>
                <w:b/>
                <w:color w:val="FFFFFF" w:themeColor="background1"/>
              </w:rPr>
            </w:pPr>
            <w:proofErr w:type="gramStart"/>
            <w:r>
              <w:rPr>
                <w:b/>
                <w:bCs/>
                <w:color w:val="FFFFFF" w:themeColor="background1"/>
              </w:rPr>
              <w:t>ОО)</w:t>
            </w:r>
            <w:proofErr w:type="gramEnd"/>
          </w:p>
        </w:tc>
        <w:tc>
          <w:tcPr>
            <w:tcW w:w="2641" w:type="pct"/>
            <w:shd w:val="clear" w:color="auto" w:fill="31849B" w:themeFill="accent5" w:themeFillShade="BF"/>
          </w:tcPr>
          <w:p w:rsidR="00042717" w:rsidRPr="00DA1EF9" w:rsidRDefault="00042717" w:rsidP="00A01565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042717" w:rsidRPr="004778B1" w:rsidTr="00A01565">
        <w:trPr>
          <w:trHeight w:val="70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717" w:rsidRDefault="00042717" w:rsidP="00A01565">
            <w:pPr>
              <w:widowControl w:val="0"/>
              <w:autoSpaceDE w:val="0"/>
              <w:autoSpaceDN w:val="0"/>
              <w:ind w:left="97" w:right="1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Приобретение интерактивного</w:t>
            </w:r>
            <w:r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кабинетов.</w:t>
            </w:r>
          </w:p>
          <w:p w:rsidR="00042717" w:rsidRDefault="00042717" w:rsidP="00A01565">
            <w:pPr>
              <w:widowControl w:val="0"/>
              <w:tabs>
                <w:tab w:val="left" w:pos="319"/>
              </w:tabs>
              <w:autoSpaceDE w:val="0"/>
              <w:autoSpaceDN w:val="0"/>
              <w:ind w:left="112" w:righ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Пополнить библиотеку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необходимой литературой. </w:t>
            </w:r>
          </w:p>
          <w:p w:rsidR="00042717" w:rsidRPr="006273F1" w:rsidRDefault="00042717" w:rsidP="00A01565">
            <w:pPr>
              <w:pStyle w:val="Default"/>
            </w:pPr>
            <w:r>
              <w:rPr>
                <w:rFonts w:eastAsia="Times New Roman"/>
              </w:rPr>
              <w:t xml:space="preserve">  3.Обеспечить недостающей методической и</w:t>
            </w:r>
            <w:r>
              <w:rPr>
                <w:rFonts w:eastAsia="Times New Roman"/>
                <w:spacing w:val="-52"/>
              </w:rPr>
              <w:t xml:space="preserve">                           </w:t>
            </w:r>
            <w:r>
              <w:rPr>
                <w:rFonts w:eastAsia="Times New Roman"/>
              </w:rPr>
              <w:t>учебной литературой всех</w:t>
            </w:r>
            <w:r>
              <w:rPr>
                <w:rFonts w:eastAsia="Times New Roman"/>
                <w:spacing w:val="1"/>
              </w:rPr>
              <w:t xml:space="preserve"> </w:t>
            </w:r>
            <w:r>
              <w:rPr>
                <w:rFonts w:eastAsia="Times New Roman"/>
              </w:rPr>
              <w:t>участников образовательного</w:t>
            </w:r>
            <w:r>
              <w:rPr>
                <w:rFonts w:eastAsia="Times New Roman"/>
                <w:spacing w:val="-52"/>
              </w:rPr>
              <w:t xml:space="preserve">                  </w:t>
            </w:r>
            <w:r>
              <w:rPr>
                <w:rFonts w:eastAsia="Times New Roman"/>
              </w:rPr>
              <w:t>процесса.</w:t>
            </w:r>
          </w:p>
        </w:tc>
      </w:tr>
      <w:tr w:rsidR="00042717" w:rsidRPr="004778B1" w:rsidTr="00A01565">
        <w:trPr>
          <w:trHeight w:val="231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717" w:rsidRDefault="00042717" w:rsidP="00A01565">
            <w:pPr>
              <w:pStyle w:val="Default"/>
              <w:jc w:val="both"/>
            </w:pPr>
          </w:p>
          <w:p w:rsidR="00042717" w:rsidRPr="006273F1" w:rsidRDefault="00042717" w:rsidP="00A01565">
            <w:pPr>
              <w:pStyle w:val="Default"/>
            </w:pPr>
          </w:p>
        </w:tc>
      </w:tr>
      <w:tr w:rsidR="00042717" w:rsidRPr="004778B1" w:rsidTr="00A01565">
        <w:trPr>
          <w:trHeight w:val="523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2717" w:rsidRDefault="00042717" w:rsidP="00A01565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ind w:left="11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Дальнейшее обучение педагогических работников на 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курсах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квалификации.</w:t>
            </w:r>
          </w:p>
          <w:p w:rsidR="00042717" w:rsidRDefault="00042717" w:rsidP="00A01565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ind w:left="11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педагогов школы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предметных и методических  </w:t>
            </w:r>
            <w:r>
              <w:rPr>
                <w:rFonts w:ascii="Times New Roman" w:hAnsi="Times New Roman" w:cs="Times New Roman"/>
                <w:spacing w:val="-52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42717" w:rsidRDefault="00042717" w:rsidP="00A01565">
            <w:pPr>
              <w:pStyle w:val="a3"/>
              <w:numPr>
                <w:ilvl w:val="0"/>
                <w:numId w:val="1"/>
              </w:numPr>
              <w:tabs>
                <w:tab w:val="left" w:pos="112"/>
              </w:tabs>
              <w:ind w:left="11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в педагогический</w:t>
            </w:r>
            <w:r>
              <w:rPr>
                <w:rFonts w:ascii="Times New Roman" w:hAnsi="Times New Roman" w:cs="Times New Roman"/>
                <w:spacing w:val="-52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процесс новых технологий 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инноваций.</w:t>
            </w:r>
          </w:p>
          <w:p w:rsidR="00042717" w:rsidRPr="004D3746" w:rsidRDefault="00042717" w:rsidP="00A01565">
            <w:pPr>
              <w:tabs>
                <w:tab w:val="left" w:pos="112"/>
              </w:tabs>
              <w:ind w:left="112"/>
              <w:rPr>
                <w:rFonts w:ascii="Times New Roman" w:hAnsi="Times New Roman" w:cs="Times New Roman"/>
              </w:rPr>
            </w:pPr>
          </w:p>
        </w:tc>
      </w:tr>
      <w:tr w:rsidR="00042717" w:rsidRPr="004778B1" w:rsidTr="00A01565">
        <w:trPr>
          <w:trHeight w:val="237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 xml:space="preserve">Высокая доля </w:t>
            </w:r>
            <w:proofErr w:type="gramStart"/>
            <w:r w:rsidRPr="000876A5">
              <w:t>обучающихся</w:t>
            </w:r>
            <w:proofErr w:type="gramEnd"/>
            <w:r w:rsidRPr="000876A5">
              <w:t xml:space="preserve"> с ОВЗ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Pr="006273F1" w:rsidRDefault="00042717" w:rsidP="00A01565">
            <w:pPr>
              <w:pStyle w:val="Default"/>
            </w:pPr>
          </w:p>
        </w:tc>
      </w:tr>
      <w:tr w:rsidR="00042717" w:rsidRPr="004778B1" w:rsidTr="00A01565">
        <w:trPr>
          <w:trHeight w:val="523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Default="00042717" w:rsidP="00A01565">
            <w:pPr>
              <w:pStyle w:val="Default"/>
              <w:jc w:val="both"/>
            </w:pPr>
            <w:r>
              <w:t>1. Выявление детей данной категории.</w:t>
            </w:r>
          </w:p>
          <w:p w:rsidR="00042717" w:rsidRDefault="00042717" w:rsidP="00A01565">
            <w:pPr>
              <w:pStyle w:val="Default"/>
              <w:jc w:val="both"/>
            </w:pPr>
            <w:r>
              <w:t>2. Повышение квалификации педагогов по данной теме.</w:t>
            </w:r>
          </w:p>
          <w:p w:rsidR="00042717" w:rsidRPr="006273F1" w:rsidRDefault="00042717" w:rsidP="00042717">
            <w:pPr>
              <w:pStyle w:val="Default"/>
              <w:jc w:val="both"/>
            </w:pPr>
            <w:r>
              <w:t>3. Проведение мероприятий с учащимися данной категории с целью преодоления языковых и культурных барьеров.</w:t>
            </w:r>
          </w:p>
        </w:tc>
      </w:tr>
      <w:tr w:rsidR="00042717" w:rsidRPr="004778B1" w:rsidTr="00A01565">
        <w:trPr>
          <w:trHeight w:val="313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Default="00042717" w:rsidP="00A01565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1. Выявить учащихся и причины низкой учебной мотивации.                                                                            2. </w:t>
            </w:r>
            <w:r>
              <w:rPr>
                <w:rFonts w:ascii="Times New Roman" w:eastAsia="Times New Roman" w:hAnsi="Times New Roman" w:cs="Times New Roman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 преодолению выявленных пробелов и предупреждение новых. </w:t>
            </w:r>
          </w:p>
          <w:p w:rsidR="00042717" w:rsidRDefault="00042717" w:rsidP="00A01565">
            <w:pPr>
              <w:pStyle w:val="Default"/>
              <w:jc w:val="both"/>
            </w:pPr>
            <w:r>
              <w:t xml:space="preserve">3. Мероприятия  для обучающихся группы риска, учитывающие индивидуальные возможности учащихся в учебном процессе; </w:t>
            </w:r>
          </w:p>
          <w:p w:rsidR="00042717" w:rsidRPr="006273F1" w:rsidRDefault="00042717" w:rsidP="00A01565">
            <w:pPr>
              <w:pStyle w:val="Default"/>
              <w:jc w:val="both"/>
            </w:pPr>
            <w:r>
              <w:t xml:space="preserve">4. Вовлечение </w:t>
            </w:r>
            <w:proofErr w:type="gramStart"/>
            <w:r>
              <w:t>обучающихся</w:t>
            </w:r>
            <w:proofErr w:type="gramEnd"/>
            <w:r>
              <w:t xml:space="preserve"> группы риска во внеклассную работу  по предмету. </w:t>
            </w:r>
          </w:p>
        </w:tc>
      </w:tr>
      <w:tr w:rsidR="00042717" w:rsidRPr="004778B1" w:rsidTr="00A01565">
        <w:trPr>
          <w:trHeight w:val="248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Pr="006273F1" w:rsidRDefault="00042717" w:rsidP="00A01565">
            <w:pPr>
              <w:pStyle w:val="Default"/>
            </w:pPr>
          </w:p>
        </w:tc>
      </w:tr>
      <w:tr w:rsidR="00042717" w:rsidRPr="004778B1" w:rsidTr="00A01565">
        <w:trPr>
          <w:trHeight w:val="223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Pr="006273F1" w:rsidRDefault="00042717" w:rsidP="00A01565">
            <w:pPr>
              <w:pStyle w:val="Default"/>
              <w:tabs>
                <w:tab w:val="left" w:pos="1095"/>
              </w:tabs>
            </w:pPr>
            <w:r>
              <w:t>.</w:t>
            </w:r>
          </w:p>
        </w:tc>
      </w:tr>
      <w:tr w:rsidR="00042717" w:rsidRPr="004778B1" w:rsidTr="00A01565">
        <w:trPr>
          <w:trHeight w:val="523"/>
        </w:trPr>
        <w:tc>
          <w:tcPr>
            <w:tcW w:w="2359" w:type="pct"/>
            <w:tcBorders>
              <w:right w:val="single" w:sz="12" w:space="0" w:color="auto"/>
            </w:tcBorders>
          </w:tcPr>
          <w:p w:rsidR="00042717" w:rsidRPr="004778B1" w:rsidRDefault="00042717" w:rsidP="00A01565">
            <w:pPr>
              <w:pStyle w:val="Default"/>
            </w:pPr>
            <w:r>
              <w:t>9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  <w:r>
              <w:t>.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Default="00042717" w:rsidP="00A01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Диагностика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причин обучающихся с риском </w:t>
            </w:r>
            <w:proofErr w:type="gramStart"/>
            <w:r>
              <w:rPr>
                <w:rFonts w:ascii="Times New Roman" w:hAnsi="Times New Roman" w:cs="Times New Roman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42717" w:rsidRDefault="00042717" w:rsidP="00A01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Составление мониторинговых карт 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учащихся.</w:t>
            </w:r>
          </w:p>
          <w:p w:rsidR="00042717" w:rsidRDefault="00042717" w:rsidP="00A01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 Наметить пути преодоления  выявленных пробелов и предупреждение новых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42717" w:rsidRPr="006273F1" w:rsidRDefault="00042717" w:rsidP="00A01565">
            <w:pPr>
              <w:pStyle w:val="Default"/>
            </w:pPr>
            <w:r>
              <w:t>.</w:t>
            </w:r>
          </w:p>
        </w:tc>
      </w:tr>
      <w:tr w:rsidR="00042717" w:rsidRPr="004778B1" w:rsidTr="00A01565">
        <w:trPr>
          <w:trHeight w:val="50"/>
        </w:trPr>
        <w:tc>
          <w:tcPr>
            <w:tcW w:w="2359" w:type="pct"/>
            <w:tcBorders>
              <w:right w:val="single" w:sz="12" w:space="0" w:color="auto"/>
            </w:tcBorders>
            <w:vAlign w:val="center"/>
          </w:tcPr>
          <w:p w:rsidR="00042717" w:rsidRPr="004778B1" w:rsidRDefault="00042717" w:rsidP="00A01565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2717" w:rsidRPr="006273F1" w:rsidRDefault="00042717" w:rsidP="00A01565">
            <w:pPr>
              <w:pStyle w:val="Default"/>
              <w:jc w:val="both"/>
            </w:pPr>
          </w:p>
        </w:tc>
      </w:tr>
    </w:tbl>
    <w:p w:rsidR="00653DDC" w:rsidRDefault="00653DDC"/>
    <w:sectPr w:rsidR="0065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4B7C"/>
    <w:multiLevelType w:val="hybridMultilevel"/>
    <w:tmpl w:val="0C50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717"/>
    <w:rsid w:val="00042717"/>
    <w:rsid w:val="0065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7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4271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>MultiDVD Team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2021-06-09T08:42:00Z</dcterms:created>
  <dcterms:modified xsi:type="dcterms:W3CDTF">2021-06-09T08:43:00Z</dcterms:modified>
</cp:coreProperties>
</file>